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720"/>
        <w:jc w:val="both"/>
        <w:rPr>
          <w:rFonts w:ascii="Times New Roman" w:cs="Times New Roman" w:eastAsia="Times New Roman" w:hAnsi="Times New Roman"/>
          <w:color w:val="2d3b45"/>
          <w:sz w:val="24"/>
          <w:szCs w:val="24"/>
        </w:rPr>
      </w:pPr>
      <w:r w:rsidDel="00000000" w:rsidR="00000000" w:rsidRPr="00000000">
        <w:rPr>
          <w:rFonts w:ascii="Times New Roman" w:cs="Times New Roman" w:eastAsia="Times New Roman" w:hAnsi="Times New Roman"/>
          <w:color w:val="2d3b45"/>
          <w:sz w:val="24"/>
          <w:szCs w:val="24"/>
          <w:rtl w:val="0"/>
        </w:rPr>
        <w:t xml:space="preserve">That champagne moment. What is the champagne moment in public relations? Katie Paine, public relations measurement queen, states that the champagne moment in public relations isn’t “always dollars and </w:t>
      </w:r>
      <w:r w:rsidDel="00000000" w:rsidR="00000000" w:rsidRPr="00000000">
        <w:rPr>
          <w:rFonts w:ascii="Times New Roman" w:cs="Times New Roman" w:eastAsia="Times New Roman" w:hAnsi="Times New Roman"/>
          <w:color w:val="2d3b45"/>
          <w:sz w:val="24"/>
          <w:szCs w:val="24"/>
          <w:rtl w:val="0"/>
        </w:rPr>
        <w:t xml:space="preserve">cense</w:t>
      </w:r>
      <w:r w:rsidDel="00000000" w:rsidR="00000000" w:rsidRPr="00000000">
        <w:rPr>
          <w:rFonts w:ascii="Times New Roman" w:cs="Times New Roman" w:eastAsia="Times New Roman" w:hAnsi="Times New Roman"/>
          <w:color w:val="2d3b45"/>
          <w:sz w:val="24"/>
          <w:szCs w:val="24"/>
          <w:rtl w:val="0"/>
        </w:rPr>
        <w:t xml:space="preserve">,” but the “acceptable proxies,” that have been agreed on with the public relations professional and their consumer (Mudd, 2021). These acceptable proxies are the goals that both parties come up with and agree on. These agreed on goals are figured out by addressing where you will yield the best results. Payne discusses how public relations is “limiting the amount of pitchforks at your gate,” and how these goals can define the good in your campaign. These are objective to a consumer’s own organization (Mudd, 2021). </w:t>
      </w:r>
    </w:p>
    <w:p w:rsidR="00000000" w:rsidDel="00000000" w:rsidP="00000000" w:rsidRDefault="00000000" w:rsidRPr="00000000" w14:paraId="00000002">
      <w:pPr>
        <w:ind w:firstLine="720"/>
        <w:jc w:val="both"/>
        <w:rPr>
          <w:rFonts w:ascii="Times New Roman" w:cs="Times New Roman" w:eastAsia="Times New Roman" w:hAnsi="Times New Roman"/>
          <w:color w:val="112846"/>
          <w:sz w:val="24"/>
          <w:szCs w:val="24"/>
          <w:highlight w:val="white"/>
        </w:rPr>
      </w:pPr>
      <w:r w:rsidDel="00000000" w:rsidR="00000000" w:rsidRPr="00000000">
        <w:rPr>
          <w:rFonts w:ascii="Times New Roman" w:cs="Times New Roman" w:eastAsia="Times New Roman" w:hAnsi="Times New Roman"/>
          <w:color w:val="2d3b45"/>
          <w:sz w:val="24"/>
          <w:szCs w:val="24"/>
          <w:rtl w:val="0"/>
        </w:rPr>
        <w:t xml:space="preserve">When brainstorming about campaigns that have failed due to not enough research, the right research, or any research, vaccine campaigns come to mind. Today, the majority of advertising that we see on billboards, commercials, ads on Facebook, etc. are regarding the importance of vaccination. Although there are many channels of relating this information to consumers, there are loopholes in the public relations behind it. The PRSA Strategies and Tactics text states, “</w:t>
      </w:r>
      <w:r w:rsidDel="00000000" w:rsidR="00000000" w:rsidRPr="00000000">
        <w:rPr>
          <w:rFonts w:ascii="Times New Roman" w:cs="Times New Roman" w:eastAsia="Times New Roman" w:hAnsi="Times New Roman"/>
          <w:color w:val="2d3b45"/>
          <w:sz w:val="24"/>
          <w:szCs w:val="24"/>
          <w:highlight w:val="white"/>
          <w:rtl w:val="0"/>
        </w:rPr>
        <w:t xml:space="preserve">For communicators whose companies are planning vaccine requirements, he offered some advice: Be clear about what the company is doing and why,” (PRSA, 2021). The importance of clarity in your campaigns about what the end goal is, is so vital. Here, the best results would be to get as many people vaccinated as possible. In South Sudan, there was a goal of getting over two million children vaccinated against measles. This botched vaccine campaign ended up killing fifteen children. Organizations that were organizing the campaign, such as “WHO and UNICEF” did not hold value in the importance of research at its fullest extent (Gharib, 2017).</w:t>
      </w:r>
      <w:r w:rsidDel="00000000" w:rsidR="00000000" w:rsidRPr="00000000">
        <w:rPr>
          <w:rFonts w:ascii="Times New Roman" w:cs="Times New Roman" w:eastAsia="Times New Roman" w:hAnsi="Times New Roman"/>
          <w:color w:val="2d3b45"/>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Some reports are saying children as young as twelve years old were administering the vaccine,” which shows us the unorganization by the companies to provide legitimate doctors to administer the vaccine. In this case, it was not an issue with the vaccine. It was an issue regarding the </w:t>
      </w:r>
      <w:r w:rsidDel="00000000" w:rsidR="00000000" w:rsidRPr="00000000">
        <w:rPr>
          <w:rFonts w:ascii="Times New Roman" w:cs="Times New Roman" w:eastAsia="Times New Roman" w:hAnsi="Times New Roman"/>
          <w:color w:val="333333"/>
          <w:sz w:val="24"/>
          <w:szCs w:val="24"/>
          <w:highlight w:val="white"/>
          <w:rtl w:val="0"/>
        </w:rPr>
        <w:t xml:space="preserve">administrating</w:t>
      </w:r>
      <w:r w:rsidDel="00000000" w:rsidR="00000000" w:rsidRPr="00000000">
        <w:rPr>
          <w:rFonts w:ascii="Times New Roman" w:cs="Times New Roman" w:eastAsia="Times New Roman" w:hAnsi="Times New Roman"/>
          <w:color w:val="333333"/>
          <w:sz w:val="24"/>
          <w:szCs w:val="24"/>
          <w:highlight w:val="white"/>
          <w:rtl w:val="0"/>
        </w:rPr>
        <w:t xml:space="preserve"> </w:t>
      </w:r>
      <w:r w:rsidDel="00000000" w:rsidR="00000000" w:rsidRPr="00000000">
        <w:rPr>
          <w:rFonts w:ascii="Times New Roman" w:cs="Times New Roman" w:eastAsia="Times New Roman" w:hAnsi="Times New Roman"/>
          <w:color w:val="333333"/>
          <w:sz w:val="24"/>
          <w:szCs w:val="24"/>
          <w:highlight w:val="white"/>
          <w:rtl w:val="0"/>
        </w:rPr>
        <w:t xml:space="preserve">organization’s public</w:t>
      </w:r>
      <w:r w:rsidDel="00000000" w:rsidR="00000000" w:rsidRPr="00000000">
        <w:rPr>
          <w:rFonts w:ascii="Times New Roman" w:cs="Times New Roman" w:eastAsia="Times New Roman" w:hAnsi="Times New Roman"/>
          <w:color w:val="333333"/>
          <w:sz w:val="24"/>
          <w:szCs w:val="24"/>
          <w:highlight w:val="white"/>
          <w:rtl w:val="0"/>
        </w:rPr>
        <w:t xml:space="preserve"> relations tactics. Carelessness from these organizations caused fifteen children to lose their lives in the attempt to save themselves from measles. </w:t>
      </w:r>
      <w:r w:rsidDel="00000000" w:rsidR="00000000" w:rsidRPr="00000000">
        <w:rPr>
          <w:rFonts w:ascii="Times New Roman" w:cs="Times New Roman" w:eastAsia="Times New Roman" w:hAnsi="Times New Roman"/>
          <w:color w:val="2d3b45"/>
          <w:sz w:val="24"/>
          <w:szCs w:val="24"/>
          <w:highlight w:val="white"/>
          <w:rtl w:val="0"/>
        </w:rPr>
        <w:t xml:space="preserve">S</w:t>
      </w:r>
      <w:r w:rsidDel="00000000" w:rsidR="00000000" w:rsidRPr="00000000">
        <w:rPr>
          <w:rFonts w:ascii="Times New Roman" w:cs="Times New Roman" w:eastAsia="Times New Roman" w:hAnsi="Times New Roman"/>
          <w:color w:val="2d3b45"/>
          <w:sz w:val="24"/>
          <w:szCs w:val="24"/>
          <w:highlight w:val="white"/>
          <w:rtl w:val="0"/>
        </w:rPr>
        <w:t xml:space="preserve">peaking of Medicine’s idea of the importance of vaccine education is stated as a “world issue,” (Blogger 2020). “</w:t>
      </w:r>
      <w:r w:rsidDel="00000000" w:rsidR="00000000" w:rsidRPr="00000000">
        <w:rPr>
          <w:rFonts w:ascii="Times New Roman" w:cs="Times New Roman" w:eastAsia="Times New Roman" w:hAnsi="Times New Roman"/>
          <w:color w:val="112846"/>
          <w:sz w:val="24"/>
          <w:szCs w:val="24"/>
          <w:highlight w:val="white"/>
          <w:rtl w:val="0"/>
        </w:rPr>
        <w:t xml:space="preserve">Failed vaccine campaigns are not local issues. In an interconnected world, poor vaccine coverage anywhere is a weak link everywhere,” (Blogger, 2020). This weak link was the reason that in South Sudan, mothers are afraid to vaccinate their children; this leads to anti-vaccination movements which today are a threat to our nations. This shows us the importance of setting goals in your campaigns that are attainable through accuracy and the correct amount of research. This is an example of what carelessness and inaccurate research can do to a society.</w:t>
      </w:r>
    </w:p>
    <w:p w:rsidR="00000000" w:rsidDel="00000000" w:rsidP="00000000" w:rsidRDefault="00000000" w:rsidRPr="00000000" w14:paraId="00000003">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4">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6">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8">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9">
      <w:pPr>
        <w:ind w:firstLine="72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A">
      <w:pPr>
        <w:spacing w:after="240" w:before="240" w:lineRule="auto"/>
        <w:ind w:left="720" w:hanging="720"/>
        <w:jc w:val="both"/>
        <w:rPr>
          <w:rFonts w:ascii="Times New Roman" w:cs="Times New Roman" w:eastAsia="Times New Roman" w:hAnsi="Times New Roman"/>
          <w:color w:val="112846"/>
          <w:sz w:val="24"/>
          <w:szCs w:val="24"/>
          <w:highlight w:val="white"/>
        </w:rPr>
      </w:pPr>
      <w:r w:rsidDel="00000000" w:rsidR="00000000" w:rsidRPr="00000000">
        <w:rPr>
          <w:rFonts w:ascii="Times New Roman" w:cs="Times New Roman" w:eastAsia="Times New Roman" w:hAnsi="Times New Roman"/>
          <w:color w:val="112846"/>
          <w:sz w:val="24"/>
          <w:szCs w:val="24"/>
          <w:highlight w:val="white"/>
          <w:rtl w:val="0"/>
        </w:rPr>
        <w:t xml:space="preserve">Blogger, P. L. O. S. G. (2020, May 18). </w:t>
      </w:r>
      <w:r w:rsidDel="00000000" w:rsidR="00000000" w:rsidRPr="00000000">
        <w:rPr>
          <w:rFonts w:ascii="Times New Roman" w:cs="Times New Roman" w:eastAsia="Times New Roman" w:hAnsi="Times New Roman"/>
          <w:i w:val="1"/>
          <w:color w:val="112846"/>
          <w:sz w:val="24"/>
          <w:szCs w:val="24"/>
          <w:highlight w:val="white"/>
          <w:rtl w:val="0"/>
        </w:rPr>
        <w:t xml:space="preserve">Failed vaccine campaigns are a global issue</w:t>
      </w:r>
      <w:r w:rsidDel="00000000" w:rsidR="00000000" w:rsidRPr="00000000">
        <w:rPr>
          <w:rFonts w:ascii="Times New Roman" w:cs="Times New Roman" w:eastAsia="Times New Roman" w:hAnsi="Times New Roman"/>
          <w:color w:val="112846"/>
          <w:sz w:val="24"/>
          <w:szCs w:val="24"/>
          <w:highlight w:val="white"/>
          <w:rtl w:val="0"/>
        </w:rPr>
        <w:t xml:space="preserve">. Speaking of Medicine and Health. Retrieved October 12, 2021, from https://speakingofmedicine.plos.org/2011/09/12/failed-vaccine-campaigns-are-a-global-issue/. </w:t>
      </w:r>
    </w:p>
    <w:p w:rsidR="00000000" w:rsidDel="00000000" w:rsidP="00000000" w:rsidRDefault="00000000" w:rsidRPr="00000000" w14:paraId="0000000B">
      <w:pPr>
        <w:spacing w:after="240" w:before="240" w:lineRule="auto"/>
        <w:ind w:left="720" w:hanging="720"/>
        <w:jc w:val="both"/>
        <w:rPr>
          <w:rFonts w:ascii="Times New Roman" w:cs="Times New Roman" w:eastAsia="Times New Roman" w:hAnsi="Times New Roman"/>
          <w:color w:val="112846"/>
          <w:sz w:val="24"/>
          <w:szCs w:val="24"/>
          <w:highlight w:val="white"/>
        </w:rPr>
      </w:pPr>
      <w:r w:rsidDel="00000000" w:rsidR="00000000" w:rsidRPr="00000000">
        <w:rPr>
          <w:rFonts w:ascii="Times New Roman" w:cs="Times New Roman" w:eastAsia="Times New Roman" w:hAnsi="Times New Roman"/>
          <w:color w:val="112846"/>
          <w:sz w:val="24"/>
          <w:szCs w:val="24"/>
          <w:highlight w:val="white"/>
          <w:rtl w:val="0"/>
        </w:rPr>
        <w:t xml:space="preserve">Gharib, M. (2017, June 2). </w:t>
      </w:r>
      <w:r w:rsidDel="00000000" w:rsidR="00000000" w:rsidRPr="00000000">
        <w:rPr>
          <w:rFonts w:ascii="Times New Roman" w:cs="Times New Roman" w:eastAsia="Times New Roman" w:hAnsi="Times New Roman"/>
          <w:i w:val="1"/>
          <w:color w:val="112846"/>
          <w:sz w:val="24"/>
          <w:szCs w:val="24"/>
          <w:highlight w:val="white"/>
          <w:rtl w:val="0"/>
        </w:rPr>
        <w:t xml:space="preserve">A botched vaccine campaign for measles killed 15 children in South Sudan</w:t>
      </w:r>
      <w:r w:rsidDel="00000000" w:rsidR="00000000" w:rsidRPr="00000000">
        <w:rPr>
          <w:rFonts w:ascii="Times New Roman" w:cs="Times New Roman" w:eastAsia="Times New Roman" w:hAnsi="Times New Roman"/>
          <w:color w:val="112846"/>
          <w:sz w:val="24"/>
          <w:szCs w:val="24"/>
          <w:highlight w:val="white"/>
          <w:rtl w:val="0"/>
        </w:rPr>
        <w:t xml:space="preserve">. NPR. Retrieved October 12, 2021, from https://www.npr.org/sections/goatsandsoda/2017/06/02/531268150/a-botched-vaccine-campaign-for-measles-killed-15-children-in-south-sudan. </w:t>
      </w:r>
    </w:p>
    <w:p w:rsidR="00000000" w:rsidDel="00000000" w:rsidP="00000000" w:rsidRDefault="00000000" w:rsidRPr="00000000" w14:paraId="0000000C">
      <w:pPr>
        <w:spacing w:after="240" w:before="240" w:lineRule="auto"/>
        <w:ind w:left="720" w:hanging="720"/>
        <w:jc w:val="both"/>
        <w:rPr>
          <w:rFonts w:ascii="Times New Roman" w:cs="Times New Roman" w:eastAsia="Times New Roman" w:hAnsi="Times New Roman"/>
          <w:color w:val="112846"/>
          <w:sz w:val="24"/>
          <w:szCs w:val="24"/>
          <w:highlight w:val="white"/>
        </w:rPr>
      </w:pPr>
      <w:r w:rsidDel="00000000" w:rsidR="00000000" w:rsidRPr="00000000">
        <w:rPr>
          <w:rFonts w:ascii="Times New Roman" w:cs="Times New Roman" w:eastAsia="Times New Roman" w:hAnsi="Times New Roman"/>
          <w:color w:val="112846"/>
          <w:sz w:val="24"/>
          <w:szCs w:val="24"/>
          <w:highlight w:val="white"/>
          <w:rtl w:val="0"/>
        </w:rPr>
        <w:t xml:space="preserve">Mudd, Jason. (Host). (2021, January 26). The Power of PR Measurement with Katie Delahaye Paine [Audio podcast episode]. In On Top of PR with Jason Mudd. Axia Public Relations. https://open.spotify.com/episode/48OaviTlzSi8GmvC0n3ePm?si=wnx99iLqSoy-87F12ddizQ&amp;dl_branch=1&amp;nd=1</w:t>
      </w:r>
    </w:p>
    <w:p w:rsidR="00000000" w:rsidDel="00000000" w:rsidP="00000000" w:rsidRDefault="00000000" w:rsidRPr="00000000" w14:paraId="0000000D">
      <w:pPr>
        <w:spacing w:after="240" w:before="240" w:lineRule="auto"/>
        <w:ind w:left="720" w:hanging="720"/>
        <w:jc w:val="both"/>
        <w:rPr>
          <w:rFonts w:ascii="Times New Roman" w:cs="Times New Roman" w:eastAsia="Times New Roman" w:hAnsi="Times New Roman"/>
          <w:color w:val="112846"/>
          <w:sz w:val="24"/>
          <w:szCs w:val="24"/>
          <w:highlight w:val="white"/>
        </w:rPr>
      </w:pPr>
      <w:r w:rsidDel="00000000" w:rsidR="00000000" w:rsidRPr="00000000">
        <w:rPr>
          <w:rFonts w:ascii="Times New Roman" w:cs="Times New Roman" w:eastAsia="Times New Roman" w:hAnsi="Times New Roman"/>
          <w:color w:val="112846"/>
          <w:sz w:val="24"/>
          <w:szCs w:val="24"/>
          <w:highlight w:val="white"/>
          <w:rtl w:val="0"/>
        </w:rPr>
        <w:t xml:space="preserve">PRSA - Public Relations Society of America. (2021, September 30). </w:t>
      </w:r>
      <w:r w:rsidDel="00000000" w:rsidR="00000000" w:rsidRPr="00000000">
        <w:rPr>
          <w:rFonts w:ascii="Times New Roman" w:cs="Times New Roman" w:eastAsia="Times New Roman" w:hAnsi="Times New Roman"/>
          <w:i w:val="1"/>
          <w:color w:val="112846"/>
          <w:sz w:val="24"/>
          <w:szCs w:val="24"/>
          <w:highlight w:val="white"/>
          <w:rtl w:val="0"/>
        </w:rPr>
        <w:t xml:space="preserve">How United Airlines is communicating its vaccine mandate to employees</w:t>
      </w:r>
      <w:r w:rsidDel="00000000" w:rsidR="00000000" w:rsidRPr="00000000">
        <w:rPr>
          <w:rFonts w:ascii="Times New Roman" w:cs="Times New Roman" w:eastAsia="Times New Roman" w:hAnsi="Times New Roman"/>
          <w:color w:val="112846"/>
          <w:sz w:val="24"/>
          <w:szCs w:val="24"/>
          <w:highlight w:val="white"/>
          <w:rtl w:val="0"/>
        </w:rPr>
        <w:t xml:space="preserve">. How United Airlines Is Communicating Its Vaccine Mandate to Employees. Retrieved October 12, 2021, from https://mydigitalpublication.com/publication/?m=53580&amp;i=723276&amp;view=articleBrowser&amp;article_id=4126266&amp;ver=html5. </w:t>
      </w:r>
    </w:p>
    <w:p w:rsidR="00000000" w:rsidDel="00000000" w:rsidP="00000000" w:rsidRDefault="00000000" w:rsidRPr="00000000" w14:paraId="0000000E">
      <w:pPr>
        <w:spacing w:after="240" w:before="240" w:lineRule="auto"/>
        <w:ind w:left="0" w:firstLine="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0F">
      <w:pPr>
        <w:spacing w:after="240" w:before="240" w:lineRule="auto"/>
        <w:ind w:left="0" w:firstLine="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10">
      <w:pPr>
        <w:spacing w:after="240" w:before="240" w:lineRule="auto"/>
        <w:ind w:left="0" w:firstLine="0"/>
        <w:jc w:val="both"/>
        <w:rPr>
          <w:rFonts w:ascii="Times New Roman" w:cs="Times New Roman" w:eastAsia="Times New Roman" w:hAnsi="Times New Roman"/>
          <w:color w:val="112846"/>
          <w:sz w:val="24"/>
          <w:szCs w:val="24"/>
          <w:highlight w:val="white"/>
        </w:rPr>
      </w:pPr>
      <w:r w:rsidDel="00000000" w:rsidR="00000000" w:rsidRPr="00000000">
        <w:rPr>
          <w:rtl w:val="0"/>
        </w:rPr>
      </w:r>
    </w:p>
    <w:p w:rsidR="00000000" w:rsidDel="00000000" w:rsidP="00000000" w:rsidRDefault="00000000" w:rsidRPr="00000000" w14:paraId="00000011">
      <w:pPr>
        <w:ind w:left="0" w:firstLine="0"/>
        <w:jc w:val="both"/>
        <w:rPr>
          <w:rFonts w:ascii="Times New Roman" w:cs="Times New Roman" w:eastAsia="Times New Roman" w:hAnsi="Times New Roman"/>
          <w:color w:val="112846"/>
          <w:sz w:val="24"/>
          <w:szCs w:val="24"/>
          <w:highlight w:val="white"/>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2 Critical Reflection Paper</w:t>
      <w:tab/>
      <w:tab/>
      <w:tab/>
      <w:tab/>
      <w:tab/>
      <w:tab/>
      <w:tab/>
      <w:t xml:space="preserve">Saldaña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